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4E" w:rsidRPr="0069304E" w:rsidRDefault="0069304E" w:rsidP="0069304E">
      <w:pPr>
        <w:shd w:val="clear" w:color="auto" w:fill="FFFFFF"/>
        <w:spacing w:after="0" w:line="240" w:lineRule="auto"/>
        <w:jc w:val="center"/>
        <w:rPr>
          <w:rFonts w:ascii="Calibri" w:eastAsia="Times New Roman" w:hAnsi="Calibri" w:cs="Times New Roman"/>
          <w:color w:val="000000"/>
          <w:lang w:eastAsia="ru-RU"/>
        </w:rPr>
      </w:pPr>
      <w:r w:rsidRPr="0069304E">
        <w:rPr>
          <w:rFonts w:ascii="Times New Roman" w:eastAsia="Times New Roman" w:hAnsi="Times New Roman" w:cs="Times New Roman"/>
          <w:b/>
          <w:bCs/>
          <w:color w:val="231F20"/>
          <w:sz w:val="28"/>
          <w:szCs w:val="28"/>
          <w:lang w:eastAsia="ru-RU"/>
        </w:rPr>
        <w:t>Консультация для родителей</w:t>
      </w:r>
    </w:p>
    <w:p w:rsidR="0069304E" w:rsidRPr="0069304E" w:rsidRDefault="0069304E" w:rsidP="0069304E">
      <w:pPr>
        <w:shd w:val="clear" w:color="auto" w:fill="FFFFFF"/>
        <w:spacing w:after="0" w:line="240" w:lineRule="auto"/>
        <w:jc w:val="center"/>
        <w:rPr>
          <w:rFonts w:ascii="Calibri" w:eastAsia="Times New Roman" w:hAnsi="Calibri" w:cs="Times New Roman"/>
          <w:color w:val="000000"/>
          <w:lang w:eastAsia="ru-RU"/>
        </w:rPr>
      </w:pPr>
      <w:r w:rsidRPr="0069304E">
        <w:rPr>
          <w:rFonts w:ascii="Times New Roman" w:eastAsia="Times New Roman" w:hAnsi="Times New Roman" w:cs="Times New Roman"/>
          <w:b/>
          <w:bCs/>
          <w:color w:val="FF0000"/>
          <w:sz w:val="28"/>
          <w:szCs w:val="28"/>
          <w:lang w:eastAsia="ru-RU"/>
        </w:rPr>
        <w:t>Возрастные особенности детей 6-7 лет</w:t>
      </w:r>
    </w:p>
    <w:p w:rsidR="0069304E" w:rsidRPr="0069304E" w:rsidRDefault="0069304E" w:rsidP="0069304E">
      <w:pPr>
        <w:rPr>
          <w:rFonts w:ascii="Calibri" w:hAnsi="Calibri"/>
          <w:color w:val="000000"/>
          <w:sz w:val="28"/>
          <w:szCs w:val="28"/>
          <w:lang w:eastAsia="ru-RU"/>
        </w:rPr>
      </w:pPr>
      <w:r w:rsidRPr="0069304E">
        <w:rPr>
          <w:sz w:val="28"/>
          <w:szCs w:val="28"/>
          <w:lang w:eastAsia="ru-RU"/>
        </w:rPr>
        <w:t>Анатомо-физиологические особенности</w:t>
      </w:r>
    </w:p>
    <w:p w:rsidR="0069304E" w:rsidRPr="0069304E" w:rsidRDefault="0069304E" w:rsidP="0069304E">
      <w:pPr>
        <w:rPr>
          <w:rFonts w:ascii="Calibri" w:hAnsi="Calibri"/>
          <w:color w:val="000000"/>
          <w:sz w:val="28"/>
          <w:szCs w:val="28"/>
          <w:lang w:eastAsia="ru-RU"/>
        </w:rPr>
      </w:pPr>
      <w:r w:rsidRPr="0069304E">
        <w:rPr>
          <w:sz w:val="28"/>
          <w:szCs w:val="28"/>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69304E">
        <w:rPr>
          <w:sz w:val="28"/>
          <w:szCs w:val="28"/>
          <w:lang w:eastAsia="ru-RU"/>
        </w:rPr>
        <w:t>новых психических образований, появившихся в пять</w:t>
      </w:r>
      <w:proofErr w:type="gramEnd"/>
      <w:r w:rsidRPr="0069304E">
        <w:rPr>
          <w:sz w:val="28"/>
          <w:szCs w:val="28"/>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9304E" w:rsidRPr="0069304E" w:rsidRDefault="0069304E" w:rsidP="0069304E">
      <w:pPr>
        <w:rPr>
          <w:rFonts w:ascii="Calibri" w:hAnsi="Calibri"/>
          <w:b/>
          <w:color w:val="000000"/>
          <w:sz w:val="28"/>
          <w:szCs w:val="28"/>
          <w:lang w:eastAsia="ru-RU"/>
        </w:rPr>
      </w:pPr>
      <w:r w:rsidRPr="0069304E">
        <w:rPr>
          <w:b/>
          <w:sz w:val="28"/>
          <w:szCs w:val="28"/>
          <w:lang w:eastAsia="ru-RU"/>
        </w:rPr>
        <w:t>Развитие личности</w:t>
      </w:r>
    </w:p>
    <w:p w:rsidR="0069304E" w:rsidRPr="0069304E" w:rsidRDefault="0069304E" w:rsidP="0069304E">
      <w:pPr>
        <w:rPr>
          <w:rFonts w:ascii="Calibri" w:hAnsi="Calibri"/>
          <w:color w:val="000000"/>
          <w:sz w:val="28"/>
          <w:szCs w:val="28"/>
          <w:lang w:eastAsia="ru-RU"/>
        </w:rPr>
      </w:pPr>
      <w:r w:rsidRPr="0069304E">
        <w:rPr>
          <w:sz w:val="28"/>
          <w:szCs w:val="28"/>
          <w:lang w:eastAsia="ru-RU"/>
        </w:rPr>
        <w:t xml:space="preserve">Изменения в сознании характеризуются </w:t>
      </w:r>
      <w:proofErr w:type="gramStart"/>
      <w:r w:rsidRPr="0069304E">
        <w:rPr>
          <w:sz w:val="28"/>
          <w:szCs w:val="28"/>
          <w:lang w:eastAsia="ru-RU"/>
        </w:rPr>
        <w:t>появлением</w:t>
      </w:r>
      <w:proofErr w:type="gramEnd"/>
      <w:r w:rsidRPr="0069304E">
        <w:rPr>
          <w:sz w:val="28"/>
          <w:szCs w:val="28"/>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69304E">
        <w:rPr>
          <w:sz w:val="28"/>
          <w:szCs w:val="28"/>
          <w:lang w:eastAsia="ru-RU"/>
        </w:rPr>
        <w:t>сензитивным</w:t>
      </w:r>
      <w:proofErr w:type="spellEnd"/>
      <w:r w:rsidRPr="0069304E">
        <w:rPr>
          <w:sz w:val="28"/>
          <w:szCs w:val="28"/>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69304E">
        <w:rPr>
          <w:sz w:val="28"/>
          <w:szCs w:val="28"/>
          <w:lang w:eastAsia="ru-RU"/>
        </w:rPr>
        <w:t>личными</w:t>
      </w:r>
      <w:proofErr w:type="gramEnd"/>
      <w:r w:rsidRPr="0069304E">
        <w:rPr>
          <w:sz w:val="28"/>
          <w:szCs w:val="28"/>
          <w:lang w:eastAsia="ru-RU"/>
        </w:rPr>
        <w:t xml:space="preserve">. Самооценка ребенка достаточно устойчивая, возможно ее завышение, реже занижение. </w:t>
      </w:r>
      <w:r w:rsidRPr="0069304E">
        <w:rPr>
          <w:sz w:val="28"/>
          <w:szCs w:val="28"/>
          <w:lang w:eastAsia="ru-RU"/>
        </w:rPr>
        <w:lastRenderedPageBreak/>
        <w:t>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9304E" w:rsidRPr="0069304E" w:rsidRDefault="0069304E" w:rsidP="0069304E">
      <w:pPr>
        <w:keepNext/>
        <w:keepLines/>
        <w:spacing w:before="480" w:after="0"/>
        <w:jc w:val="center"/>
        <w:outlineLvl w:val="0"/>
        <w:rPr>
          <w:rFonts w:ascii="Calibri" w:eastAsia="Times New Roman" w:hAnsi="Calibri" w:cstheme="majorBidi"/>
          <w:b/>
          <w:bCs/>
          <w:color w:val="000000"/>
          <w:sz w:val="28"/>
          <w:szCs w:val="28"/>
          <w:lang w:eastAsia="ru-RU"/>
        </w:rPr>
      </w:pPr>
      <w:r w:rsidRPr="0069304E">
        <w:rPr>
          <w:rFonts w:asciiTheme="majorHAnsi" w:eastAsia="Times New Roman" w:hAnsiTheme="majorHAnsi" w:cstheme="majorBidi"/>
          <w:b/>
          <w:bCs/>
          <w:color w:val="365F91" w:themeColor="accent1" w:themeShade="BF"/>
          <w:sz w:val="28"/>
          <w:szCs w:val="28"/>
          <w:lang w:eastAsia="ru-RU"/>
        </w:rPr>
        <w:t>Развитие психических процессов</w:t>
      </w:r>
    </w:p>
    <w:p w:rsidR="0069304E" w:rsidRPr="0069304E" w:rsidRDefault="0069304E" w:rsidP="0069304E">
      <w:pPr>
        <w:rPr>
          <w:sz w:val="28"/>
          <w:szCs w:val="28"/>
          <w:lang w:eastAsia="ru-RU"/>
        </w:rPr>
      </w:pPr>
      <w:r w:rsidRPr="0069304E">
        <w:rPr>
          <w:sz w:val="28"/>
          <w:szCs w:val="28"/>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w:t>
      </w:r>
      <w:r w:rsidRPr="0069304E">
        <w:rPr>
          <w:sz w:val="28"/>
          <w:szCs w:val="28"/>
          <w:lang w:eastAsia="ru-RU"/>
        </w:rPr>
        <w:lastRenderedPageBreak/>
        <w:t>целенаправленно обучать дошкольников приемам классификации и группировки в целях запоминания.</w:t>
      </w:r>
    </w:p>
    <w:p w:rsidR="0069304E" w:rsidRPr="0069304E" w:rsidRDefault="0069304E" w:rsidP="0069304E">
      <w:pPr>
        <w:rPr>
          <w:sz w:val="28"/>
          <w:szCs w:val="28"/>
          <w:lang w:eastAsia="ru-RU"/>
        </w:rPr>
      </w:pPr>
      <w:r w:rsidRPr="0069304E">
        <w:rPr>
          <w:sz w:val="28"/>
          <w:szCs w:val="28"/>
          <w:lang w:eastAsia="ru-RU"/>
        </w:rPr>
        <w:t xml:space="preserve"> </w:t>
      </w:r>
      <w:r w:rsidRPr="0069304E">
        <w:rPr>
          <w:b/>
          <w:sz w:val="28"/>
          <w:szCs w:val="28"/>
          <w:lang w:eastAsia="ru-RU"/>
        </w:rPr>
        <w:t>Мышление.</w:t>
      </w:r>
      <w:r w:rsidRPr="0069304E">
        <w:rPr>
          <w:sz w:val="28"/>
          <w:szCs w:val="28"/>
          <w:lang w:eastAsia="ru-RU"/>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69304E" w:rsidRPr="0069304E" w:rsidRDefault="0069304E" w:rsidP="0069304E">
      <w:pPr>
        <w:rPr>
          <w:sz w:val="28"/>
          <w:szCs w:val="28"/>
          <w:lang w:eastAsia="ru-RU"/>
        </w:rPr>
      </w:pPr>
      <w:r w:rsidRPr="0069304E">
        <w:rPr>
          <w:b/>
          <w:sz w:val="28"/>
          <w:szCs w:val="28"/>
          <w:lang w:eastAsia="ru-RU"/>
        </w:rPr>
        <w:t>Воображение</w:t>
      </w:r>
      <w:r w:rsidRPr="0069304E">
        <w:rPr>
          <w:sz w:val="28"/>
          <w:szCs w:val="28"/>
          <w:lang w:eastAsia="ru-RU"/>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69304E">
        <w:rPr>
          <w:sz w:val="28"/>
          <w:szCs w:val="28"/>
          <w:lang w:eastAsia="ru-RU"/>
        </w:rPr>
        <w:t>сензитивный</w:t>
      </w:r>
      <w:proofErr w:type="spellEnd"/>
      <w:r w:rsidRPr="0069304E">
        <w:rPr>
          <w:sz w:val="28"/>
          <w:szCs w:val="28"/>
          <w:lang w:eastAsia="ru-RU"/>
        </w:rPr>
        <w:t xml:space="preserve"> для развития фантазии. </w:t>
      </w:r>
    </w:p>
    <w:p w:rsidR="0069304E" w:rsidRPr="0069304E" w:rsidRDefault="0069304E" w:rsidP="0069304E">
      <w:pPr>
        <w:rPr>
          <w:rFonts w:ascii="Calibri" w:hAnsi="Calibri"/>
          <w:color w:val="000000"/>
          <w:lang w:eastAsia="ru-RU"/>
        </w:rPr>
      </w:pPr>
      <w:r w:rsidRPr="0069304E">
        <w:rPr>
          <w:b/>
          <w:sz w:val="28"/>
          <w:szCs w:val="28"/>
          <w:lang w:eastAsia="ru-RU"/>
        </w:rPr>
        <w:t>Речь.</w:t>
      </w:r>
      <w:r w:rsidRPr="0069304E">
        <w:rPr>
          <w:sz w:val="28"/>
          <w:szCs w:val="28"/>
          <w:lang w:eastAsia="ru-RU"/>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69304E">
        <w:rPr>
          <w:sz w:val="28"/>
          <w:szCs w:val="28"/>
          <w:lang w:eastAsia="ru-RU"/>
        </w:rPr>
        <w:t>диалогическая</w:t>
      </w:r>
      <w:proofErr w:type="gramEnd"/>
      <w:r w:rsidRPr="0069304E">
        <w:rPr>
          <w:sz w:val="28"/>
          <w:szCs w:val="28"/>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w:t>
      </w:r>
      <w:r w:rsidRPr="0069304E">
        <w:rPr>
          <w:lang w:eastAsia="ru-RU"/>
        </w:rPr>
        <w:t xml:space="preserve"> </w:t>
      </w:r>
      <w:r w:rsidRPr="0069304E">
        <w:rPr>
          <w:sz w:val="28"/>
          <w:szCs w:val="28"/>
          <w:lang w:eastAsia="ru-RU"/>
        </w:rPr>
        <w:t>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9304E" w:rsidRPr="0069304E" w:rsidRDefault="0069304E" w:rsidP="0069304E">
      <w:pPr>
        <w:shd w:val="clear" w:color="auto" w:fill="FFFFFF"/>
        <w:spacing w:after="0" w:line="240" w:lineRule="auto"/>
        <w:jc w:val="center"/>
        <w:rPr>
          <w:rFonts w:ascii="Calibri" w:eastAsia="Times New Roman" w:hAnsi="Calibri" w:cs="Times New Roman"/>
          <w:color w:val="000000"/>
          <w:sz w:val="32"/>
          <w:szCs w:val="32"/>
          <w:lang w:eastAsia="ru-RU"/>
        </w:rPr>
      </w:pPr>
      <w:r w:rsidRPr="0069304E">
        <w:rPr>
          <w:rFonts w:ascii="Times New Roman" w:eastAsia="Times New Roman" w:hAnsi="Times New Roman" w:cs="Times New Roman"/>
          <w:b/>
          <w:bCs/>
          <w:color w:val="231F20"/>
          <w:sz w:val="32"/>
          <w:szCs w:val="32"/>
          <w:lang w:eastAsia="ru-RU"/>
        </w:rPr>
        <w:t>Основные компоненты психологической готовности к школе</w:t>
      </w:r>
    </w:p>
    <w:p w:rsidR="0069304E" w:rsidRPr="0069304E" w:rsidRDefault="0069304E" w:rsidP="0069304E">
      <w:pPr>
        <w:rPr>
          <w:sz w:val="28"/>
          <w:szCs w:val="28"/>
          <w:lang w:eastAsia="ru-RU"/>
        </w:rPr>
      </w:pPr>
      <w:r w:rsidRPr="0069304E">
        <w:rPr>
          <w:sz w:val="28"/>
          <w:szCs w:val="28"/>
          <w:lang w:eastAsia="ru-RU"/>
        </w:rPr>
        <w:lastRenderedPageBreak/>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69304E">
        <w:rPr>
          <w:sz w:val="28"/>
          <w:szCs w:val="28"/>
          <w:lang w:eastAsia="ru-RU"/>
        </w:rPr>
        <w:t>многокомпонентна</w:t>
      </w:r>
      <w:proofErr w:type="spellEnd"/>
      <w:r w:rsidRPr="0069304E">
        <w:rPr>
          <w:sz w:val="28"/>
          <w:szCs w:val="28"/>
          <w:lang w:eastAsia="ru-RU"/>
        </w:rPr>
        <w:t xml:space="preserve">. </w:t>
      </w:r>
    </w:p>
    <w:p w:rsidR="0069304E" w:rsidRPr="0069304E" w:rsidRDefault="0069304E" w:rsidP="0069304E">
      <w:pPr>
        <w:keepNext/>
        <w:keepLines/>
        <w:spacing w:before="480" w:after="0"/>
        <w:outlineLvl w:val="0"/>
        <w:rPr>
          <w:rFonts w:asciiTheme="majorHAnsi" w:eastAsia="Times New Roman" w:hAnsiTheme="majorHAnsi" w:cstheme="majorBidi"/>
          <w:b/>
          <w:bCs/>
          <w:color w:val="365F91" w:themeColor="accent1" w:themeShade="BF"/>
          <w:sz w:val="28"/>
          <w:szCs w:val="28"/>
          <w:lang w:eastAsia="ru-RU"/>
        </w:rPr>
      </w:pPr>
      <w:r w:rsidRPr="0069304E">
        <w:rPr>
          <w:rFonts w:asciiTheme="majorHAnsi" w:eastAsia="Times New Roman" w:hAnsiTheme="majorHAnsi" w:cstheme="majorBidi"/>
          <w:b/>
          <w:bCs/>
          <w:color w:val="365F91" w:themeColor="accent1" w:themeShade="BF"/>
          <w:sz w:val="28"/>
          <w:szCs w:val="28"/>
          <w:lang w:eastAsia="ru-RU"/>
        </w:rPr>
        <w:t>Можно выделить несколько параметров психического развития ребенка, наиболее существенно влияющих на успешное обучение в школе.</w:t>
      </w:r>
    </w:p>
    <w:p w:rsidR="0069304E" w:rsidRPr="0069304E" w:rsidRDefault="0069304E" w:rsidP="0069304E">
      <w:pPr>
        <w:rPr>
          <w:sz w:val="28"/>
          <w:szCs w:val="28"/>
          <w:lang w:eastAsia="ru-RU"/>
        </w:rPr>
      </w:pPr>
      <w:r w:rsidRPr="0069304E">
        <w:rPr>
          <w:sz w:val="28"/>
          <w:szCs w:val="28"/>
          <w:lang w:eastAsia="ru-RU"/>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69304E" w:rsidRPr="0069304E" w:rsidRDefault="0069304E" w:rsidP="0069304E">
      <w:pPr>
        <w:rPr>
          <w:sz w:val="28"/>
          <w:szCs w:val="28"/>
          <w:lang w:eastAsia="ru-RU"/>
        </w:rPr>
      </w:pPr>
      <w:r w:rsidRPr="0069304E">
        <w:rPr>
          <w:sz w:val="28"/>
          <w:szCs w:val="28"/>
          <w:lang w:eastAsia="ru-RU"/>
        </w:rPr>
        <w:t xml:space="preserve">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rsidR="0069304E" w:rsidRPr="0069304E" w:rsidRDefault="0069304E" w:rsidP="0069304E">
      <w:pPr>
        <w:rPr>
          <w:sz w:val="28"/>
          <w:szCs w:val="28"/>
          <w:lang w:eastAsia="ru-RU"/>
        </w:rPr>
      </w:pPr>
      <w:r w:rsidRPr="0069304E">
        <w:rPr>
          <w:sz w:val="28"/>
          <w:szCs w:val="28"/>
          <w:lang w:eastAsia="ru-RU"/>
        </w:rPr>
        <w:t xml:space="preserve">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r w:rsidRPr="0069304E">
        <w:rPr>
          <w:lang w:eastAsia="ru-RU"/>
        </w:rPr>
        <w:t xml:space="preserve"> • </w:t>
      </w:r>
      <w:r w:rsidRPr="0069304E">
        <w:rPr>
          <w:sz w:val="28"/>
          <w:szCs w:val="28"/>
          <w:lang w:eastAsia="ru-RU"/>
        </w:rPr>
        <w:t>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F90CA2" w:rsidRDefault="00F90CA2">
      <w:bookmarkStart w:id="0" w:name="_GoBack"/>
      <w:bookmarkEnd w:id="0"/>
    </w:p>
    <w:sectPr w:rsidR="00F90CA2" w:rsidSect="0069304E">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4E"/>
    <w:rsid w:val="0069304E"/>
    <w:rsid w:val="00F9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224D-15A9-4A66-B4F8-90FA2570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БВЦ</cp:lastModifiedBy>
  <cp:revision>1</cp:revision>
  <dcterms:created xsi:type="dcterms:W3CDTF">2019-10-30T19:38:00Z</dcterms:created>
  <dcterms:modified xsi:type="dcterms:W3CDTF">2019-10-30T19:38:00Z</dcterms:modified>
</cp:coreProperties>
</file>