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B7" w:rsidRPr="001A46A7" w:rsidRDefault="008214B7" w:rsidP="008214B7">
      <w:pPr>
        <w:shd w:val="clear" w:color="auto" w:fill="FFFFFF"/>
        <w:spacing w:after="0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1A46A7">
        <w:rPr>
          <w:rFonts w:ascii="Georgia" w:eastAsia="Times New Roman" w:hAnsi="Georgia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8214B7" w:rsidRPr="001A46A7" w:rsidRDefault="008214B7" w:rsidP="008214B7">
      <w:pPr>
        <w:shd w:val="clear" w:color="auto" w:fill="FFFFFF"/>
        <w:spacing w:after="0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kern w:val="36"/>
          <w:sz w:val="32"/>
          <w:szCs w:val="32"/>
          <w:lang w:eastAsia="ru-RU"/>
        </w:rPr>
        <w:t>«</w:t>
      </w:r>
      <w:r w:rsidRPr="001A46A7">
        <w:rPr>
          <w:rFonts w:ascii="Georgia" w:eastAsia="Times New Roman" w:hAnsi="Georgia" w:cs="Times New Roman"/>
          <w:b/>
          <w:bCs/>
          <w:color w:val="FF0000"/>
          <w:kern w:val="36"/>
          <w:sz w:val="32"/>
          <w:szCs w:val="32"/>
          <w:lang w:eastAsia="ru-RU"/>
        </w:rPr>
        <w:t>Правильное питание для детей: особенности, правила, связь питания и интеллекта.</w:t>
      </w:r>
    </w:p>
    <w:p w:rsidR="008214B7" w:rsidRPr="001A46A7" w:rsidRDefault="008214B7" w:rsidP="008214B7">
      <w:pPr>
        <w:shd w:val="clear" w:color="auto" w:fill="FFFFFF"/>
        <w:spacing w:after="0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Питание для детей располагает своими особенностями и сложностями.</w:t>
      </w:r>
    </w:p>
    <w:p w:rsidR="008214B7" w:rsidRPr="001A46A7" w:rsidRDefault="008214B7" w:rsidP="008214B7">
      <w:pPr>
        <w:shd w:val="clear" w:color="auto" w:fill="FFFFFF"/>
        <w:spacing w:after="0"/>
        <w:jc w:val="both"/>
        <w:outlineLvl w:val="1"/>
        <w:rPr>
          <w:rFonts w:ascii="Georgia" w:eastAsia="Times New Roman" w:hAnsi="Georgia" w:cs="Times New Roman"/>
          <w:b/>
          <w:bCs/>
          <w:color w:val="C00000"/>
          <w:sz w:val="26"/>
          <w:szCs w:val="26"/>
          <w:u w:val="single"/>
          <w:lang w:eastAsia="ru-RU"/>
        </w:rPr>
      </w:pPr>
      <w:r w:rsidRPr="001A46A7">
        <w:rPr>
          <w:rFonts w:ascii="Georgia" w:eastAsia="Times New Roman" w:hAnsi="Georgia" w:cs="Times New Roman"/>
          <w:b/>
          <w:bCs/>
          <w:color w:val="C00000"/>
          <w:sz w:val="26"/>
          <w:szCs w:val="26"/>
          <w:u w:val="single"/>
          <w:lang w:eastAsia="ru-RU"/>
        </w:rPr>
        <w:t>Особенности детского питания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При планировании </w:t>
      </w:r>
      <w:hyperlink r:id="rId5" w:tgtFrame="_blank" w:tooltip="Об основах правильного питания" w:history="1">
        <w:r w:rsidRPr="001A46A7">
          <w:rPr>
            <w:rFonts w:ascii="Georgia" w:eastAsia="Times New Roman" w:hAnsi="Georgia" w:cs="Times New Roman"/>
            <w:sz w:val="26"/>
            <w:szCs w:val="26"/>
            <w:lang w:eastAsia="ru-RU"/>
          </w:rPr>
          <w:t>рациона питания</w:t>
        </w:r>
      </w:hyperlink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 ребенка нужно учитывать определенные особенности детского организма. Какие из них - рассмотрим далее.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b/>
          <w:color w:val="548DD4" w:themeColor="text2" w:themeTint="99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b/>
          <w:color w:val="548DD4" w:themeColor="text2" w:themeTint="99"/>
          <w:sz w:val="26"/>
          <w:szCs w:val="26"/>
          <w:u w:val="single"/>
          <w:lang w:eastAsia="ru-RU"/>
        </w:rPr>
        <w:t>Рост организма ребенка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Главное отличие детского питания – это рост организма ребенка. То есть малыш нуждается в большем количестве </w:t>
      </w:r>
      <w:hyperlink r:id="rId6" w:tgtFrame="_blank" w:tooltip="О роли белков в питании" w:history="1">
        <w:r w:rsidRPr="001A46A7">
          <w:rPr>
            <w:rFonts w:ascii="Georgia" w:eastAsia="Times New Roman" w:hAnsi="Georgia" w:cs="Times New Roman"/>
            <w:sz w:val="26"/>
            <w:szCs w:val="26"/>
            <w:lang w:eastAsia="ru-RU"/>
          </w:rPr>
          <w:t>белков</w:t>
        </w:r>
      </w:hyperlink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, нежели взрослый. Зная об этом, мн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о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гие взрослые совершают ошибку, делая акцент на создании высокобелкового рациона, хотя даже обычная белковая пища, потребляемая взрослыми, соде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р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жит больше белка, чем грудное молоко.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b/>
          <w:color w:val="7030A0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b/>
          <w:color w:val="7030A0"/>
          <w:sz w:val="26"/>
          <w:szCs w:val="26"/>
          <w:u w:val="single"/>
          <w:lang w:eastAsia="ru-RU"/>
        </w:rPr>
        <w:t>Высокая подвижность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Еще одна </w:t>
      </w:r>
      <w:r w:rsidRPr="001A46A7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особенность детского питания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 – дети очень подвижны в отличие от взрослых. Большая подвижность организма ребенка способствует нормализации обмена. Если насильственно ограничивать детей в движениях, это спровоцирует недостаточную секрецию гормонов роста, заболевания и как итог – отставание в развитии.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b/>
          <w:color w:val="FF0000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b/>
          <w:color w:val="FF0000"/>
          <w:sz w:val="26"/>
          <w:szCs w:val="26"/>
          <w:u w:val="single"/>
          <w:lang w:eastAsia="ru-RU"/>
        </w:rPr>
        <w:t>О потреблении сладостей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Из-за высокой интенсивности обмена дети в отличие от взрослых способны поглощать значительно больше сладостей без особого для себя вреда. Однако потворствовать им в этом не стоит. Хотя сладкие продукты природного происхо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ж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дения очень полезны для ребенка.  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b/>
          <w:color w:val="002060"/>
          <w:sz w:val="26"/>
          <w:szCs w:val="26"/>
          <w:u w:val="single"/>
          <w:lang w:eastAsia="ru-RU"/>
        </w:rPr>
        <w:t>О холестерине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Кроме того, дети по сравнению с взрослыми значительно активнее использ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у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ют </w:t>
      </w:r>
      <w:hyperlink r:id="rId7" w:tgtFrame="_blank" w:tooltip="О роли холестерина в человеческо организме" w:history="1">
        <w:r w:rsidRPr="001A46A7">
          <w:rPr>
            <w:rFonts w:ascii="Georgia" w:eastAsia="Times New Roman" w:hAnsi="Georgia" w:cs="Times New Roman"/>
            <w:sz w:val="26"/>
            <w:szCs w:val="26"/>
            <w:lang w:eastAsia="ru-RU"/>
          </w:rPr>
          <w:t>холестерин</w:t>
        </w:r>
      </w:hyperlink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. Он чрезвычайно важен для здоровья, является основным комп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о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нентом мембраны, которая окружает клетки всего организма.  А ребенок растет, и у него образуется много новых клеток.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Важный нюанс – жировые клетки, которые составляют «сало» по большей части формируются в течение первых лет жизни. В последующем они увеличиваются и разрастаются в размерах. Следовательно, то, как выглядит взрослый человек во многом связано именно с питанием в детстве.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b/>
          <w:color w:val="0070C0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b/>
          <w:color w:val="0070C0"/>
          <w:sz w:val="26"/>
          <w:szCs w:val="26"/>
          <w:u w:val="single"/>
          <w:lang w:eastAsia="ru-RU"/>
        </w:rPr>
        <w:t>Совершенство регуляторных механизмов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Напоследок – самая важная </w:t>
      </w:r>
      <w:r w:rsidRPr="001A46A7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особенность детского питания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. В организме р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е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бенка </w:t>
      </w:r>
      <w:hyperlink r:id="rId8" w:tgtFrame="_blank" w:tooltip="О регуляторных системах организма" w:history="1">
        <w:r w:rsidRPr="001A46A7">
          <w:rPr>
            <w:rFonts w:ascii="Georgia" w:eastAsia="Times New Roman" w:hAnsi="Georgia" w:cs="Times New Roman"/>
            <w:sz w:val="26"/>
            <w:szCs w:val="26"/>
            <w:lang w:eastAsia="ru-RU"/>
          </w:rPr>
          <w:t>регуляторные механизмы</w:t>
        </w:r>
      </w:hyperlink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, контролирующие приход и расход энергии, функционируют в совершенстве. Его организм точно знает, какая пища и в каких количествах ему нужна. Однако если имеет место изобилие вкусно приг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о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товленных (со специями, жареных, жирных и т.д.) и сладких блюд, координир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о</w:t>
      </w: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вать будет аппетит язык, а не физиологическая потребность.</w:t>
      </w:r>
    </w:p>
    <w:p w:rsidR="008214B7" w:rsidRPr="001A46A7" w:rsidRDefault="008214B7" w:rsidP="008214B7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A46A7">
        <w:rPr>
          <w:rFonts w:ascii="Georgia" w:eastAsia="Times New Roman" w:hAnsi="Georgia" w:cs="Times New Roman"/>
          <w:sz w:val="26"/>
          <w:szCs w:val="26"/>
          <w:lang w:eastAsia="ru-RU"/>
        </w:rPr>
        <w:t>Такой уровень регуляции остается до 14 – 17 лет. В дальнейшем он сохраняется при условии, что человек ведет здоровый образ жизни.</w:t>
      </w:r>
      <w:bookmarkStart w:id="0" w:name="_GoBack"/>
      <w:bookmarkEnd w:id="0"/>
    </w:p>
    <w:sectPr w:rsidR="008214B7" w:rsidRPr="001A46A7" w:rsidSect="008214B7">
      <w:pgSz w:w="11906" w:h="16838"/>
      <w:pgMar w:top="1134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B7"/>
    <w:rsid w:val="008214B7"/>
    <w:rsid w:val="00B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diet.ru/osnovy_pitanija/jenergozatraty_i_kalorijjnost/127-kaloriynost-i-v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perdiet.ru/zhiry/kholester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perdiet.ru/belki/" TargetMode="External"/><Relationship Id="rId5" Type="http://schemas.openxmlformats.org/officeDocument/2006/relationships/hyperlink" Target="http://www.properdiet.ru/osnovy_pitani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1</cp:revision>
  <dcterms:created xsi:type="dcterms:W3CDTF">2020-08-09T12:43:00Z</dcterms:created>
  <dcterms:modified xsi:type="dcterms:W3CDTF">2020-08-09T12:48:00Z</dcterms:modified>
</cp:coreProperties>
</file>